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83" w:rsidRDefault="002672AA" w:rsidP="00D02AA8">
      <w:pPr>
        <w:pStyle w:val="NoSpacing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Board of Trustees</w:t>
      </w: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Mental Health Advocacy Service</w:t>
      </w: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July 15, 2017</w:t>
      </w: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Children’s Hospital, Board Room B</w:t>
      </w: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200 Henry Clay Avenue</w:t>
      </w: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New Orleans, LA</w:t>
      </w: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10 a.m. – 12 p.m.</w:t>
      </w:r>
    </w:p>
    <w:p w:rsidR="002672AA" w:rsidRDefault="002672AA" w:rsidP="00D02AA8">
      <w:pPr>
        <w:pStyle w:val="NoSpacing"/>
        <w:jc w:val="center"/>
        <w:rPr>
          <w:sz w:val="28"/>
          <w:szCs w:val="28"/>
        </w:rPr>
      </w:pPr>
    </w:p>
    <w:p w:rsidR="002672AA" w:rsidRDefault="002672AA" w:rsidP="002672A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Staff and Board Present:   Joseph Seyler (Director, non-voting), Robert Garda </w:t>
      </w:r>
    </w:p>
    <w:p w:rsidR="002672AA" w:rsidRDefault="002672AA" w:rsidP="002672AA">
      <w:pPr>
        <w:pStyle w:val="NoSpacing"/>
        <w:ind w:left="2940"/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Drell</w:t>
      </w:r>
      <w:proofErr w:type="spellEnd"/>
      <w:r>
        <w:rPr>
          <w:sz w:val="28"/>
          <w:szCs w:val="28"/>
        </w:rPr>
        <w:t>, Hector Linares</w:t>
      </w:r>
      <w:r w:rsidR="006A2A5A">
        <w:rPr>
          <w:sz w:val="28"/>
          <w:szCs w:val="28"/>
        </w:rPr>
        <w:t>,</w:t>
      </w:r>
      <w:r>
        <w:rPr>
          <w:sz w:val="28"/>
          <w:szCs w:val="28"/>
        </w:rPr>
        <w:t xml:space="preserve"> Patrick O’Neill, Steve    </w:t>
      </w:r>
      <w:proofErr w:type="spellStart"/>
      <w:r>
        <w:rPr>
          <w:sz w:val="28"/>
          <w:szCs w:val="28"/>
        </w:rPr>
        <w:t>Sheckman</w:t>
      </w:r>
      <w:proofErr w:type="spellEnd"/>
    </w:p>
    <w:p w:rsidR="006A2A5A" w:rsidRDefault="006A2A5A" w:rsidP="006A2A5A">
      <w:pPr>
        <w:pStyle w:val="NoSpacing"/>
        <w:rPr>
          <w:sz w:val="28"/>
          <w:szCs w:val="28"/>
        </w:rPr>
      </w:pPr>
    </w:p>
    <w:p w:rsidR="006A2A5A" w:rsidRDefault="006A2A5A" w:rsidP="006A2A5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76BFC">
        <w:rPr>
          <w:b/>
          <w:sz w:val="28"/>
          <w:szCs w:val="28"/>
        </w:rPr>
        <w:t>Approval of minutes from last meeting</w:t>
      </w:r>
      <w:r>
        <w:rPr>
          <w:sz w:val="28"/>
          <w:szCs w:val="28"/>
        </w:rPr>
        <w:t xml:space="preserve">:  </w:t>
      </w:r>
      <w:r w:rsidR="006B3774">
        <w:rPr>
          <w:sz w:val="28"/>
          <w:szCs w:val="28"/>
        </w:rPr>
        <w:t>Rob Garda</w:t>
      </w:r>
      <w:r>
        <w:rPr>
          <w:sz w:val="28"/>
          <w:szCs w:val="28"/>
        </w:rPr>
        <w:t xml:space="preserve"> moved to approve the minutes from February 11, 2017.  </w:t>
      </w:r>
      <w:r w:rsidR="006B3774">
        <w:rPr>
          <w:sz w:val="28"/>
          <w:szCs w:val="28"/>
        </w:rPr>
        <w:t>Hector Linares</w:t>
      </w:r>
      <w:r>
        <w:rPr>
          <w:sz w:val="28"/>
          <w:szCs w:val="28"/>
        </w:rPr>
        <w:t xml:space="preserve"> seconded and the motion was unanimously approved.</w:t>
      </w:r>
    </w:p>
    <w:p w:rsidR="00D76BFC" w:rsidRDefault="00D76BFC" w:rsidP="006A2A5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76BFC">
        <w:rPr>
          <w:b/>
          <w:sz w:val="28"/>
          <w:szCs w:val="28"/>
        </w:rPr>
        <w:t>Budget Update</w:t>
      </w:r>
      <w:r>
        <w:rPr>
          <w:sz w:val="28"/>
          <w:szCs w:val="28"/>
        </w:rPr>
        <w:t>:  Joseph Seyler reported that the MHAS budget adopted by the Executive Branch was passed by the Legislature, including funding for IT services via the Office of Technology</w:t>
      </w:r>
      <w:r w:rsidR="006B3774">
        <w:rPr>
          <w:sz w:val="28"/>
          <w:szCs w:val="28"/>
        </w:rPr>
        <w:t xml:space="preserve"> Services (OTS)</w:t>
      </w:r>
      <w:r w:rsidR="00C0309A">
        <w:rPr>
          <w:sz w:val="28"/>
          <w:szCs w:val="28"/>
        </w:rPr>
        <w:t xml:space="preserve">. </w:t>
      </w:r>
      <w:r w:rsidR="00A95A19">
        <w:rPr>
          <w:sz w:val="28"/>
          <w:szCs w:val="28"/>
        </w:rPr>
        <w:t xml:space="preserve"> </w:t>
      </w:r>
      <w:r w:rsidR="00C0309A">
        <w:rPr>
          <w:sz w:val="28"/>
          <w:szCs w:val="28"/>
        </w:rPr>
        <w:t xml:space="preserve"> Additional</w:t>
      </w:r>
      <w:r>
        <w:rPr>
          <w:sz w:val="28"/>
          <w:szCs w:val="28"/>
        </w:rPr>
        <w:t xml:space="preserve"> funding </w:t>
      </w:r>
      <w:r w:rsidR="00C0309A">
        <w:rPr>
          <w:sz w:val="28"/>
          <w:szCs w:val="28"/>
        </w:rPr>
        <w:t xml:space="preserve">was appropriated </w:t>
      </w:r>
      <w:r>
        <w:rPr>
          <w:sz w:val="28"/>
          <w:szCs w:val="28"/>
        </w:rPr>
        <w:t>for a pay increase of 2% for all classified employees on January 1</w:t>
      </w:r>
      <w:r w:rsidR="004A3CC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309A">
        <w:rPr>
          <w:sz w:val="28"/>
          <w:szCs w:val="28"/>
        </w:rPr>
        <w:t xml:space="preserve">and </w:t>
      </w:r>
      <w:r w:rsidR="006B3774">
        <w:rPr>
          <w:sz w:val="28"/>
          <w:szCs w:val="28"/>
        </w:rPr>
        <w:t>for a</w:t>
      </w:r>
      <w:r w:rsidR="001A16DA">
        <w:rPr>
          <w:sz w:val="28"/>
          <w:szCs w:val="28"/>
        </w:rPr>
        <w:t>n additional</w:t>
      </w:r>
      <w:r w:rsidR="006B3774">
        <w:rPr>
          <w:sz w:val="28"/>
          <w:szCs w:val="28"/>
        </w:rPr>
        <w:t xml:space="preserve"> pay increase on January 2 under the new </w:t>
      </w:r>
      <w:r>
        <w:rPr>
          <w:sz w:val="28"/>
          <w:szCs w:val="28"/>
        </w:rPr>
        <w:t xml:space="preserve">Civil Service pay plan </w:t>
      </w:r>
      <w:r w:rsidR="00C0309A">
        <w:rPr>
          <w:sz w:val="28"/>
          <w:szCs w:val="28"/>
        </w:rPr>
        <w:t>desi</w:t>
      </w:r>
      <w:r w:rsidR="004A3CC4">
        <w:rPr>
          <w:sz w:val="28"/>
          <w:szCs w:val="28"/>
        </w:rPr>
        <w:t>gned to bring s</w:t>
      </w:r>
      <w:r w:rsidR="006B3774">
        <w:rPr>
          <w:sz w:val="28"/>
          <w:szCs w:val="28"/>
        </w:rPr>
        <w:t xml:space="preserve">alaries of state employees </w:t>
      </w:r>
      <w:r w:rsidR="004A3CC4">
        <w:rPr>
          <w:sz w:val="28"/>
          <w:szCs w:val="28"/>
        </w:rPr>
        <w:t>in line with market value</w:t>
      </w:r>
      <w:r>
        <w:rPr>
          <w:sz w:val="28"/>
          <w:szCs w:val="28"/>
        </w:rPr>
        <w:t xml:space="preserve">.  </w:t>
      </w:r>
      <w:r w:rsidR="00D332EB">
        <w:rPr>
          <w:sz w:val="28"/>
          <w:szCs w:val="28"/>
        </w:rPr>
        <w:t>Along with other</w:t>
      </w:r>
      <w:r w:rsidR="006B3774">
        <w:rPr>
          <w:sz w:val="28"/>
          <w:szCs w:val="28"/>
        </w:rPr>
        <w:t xml:space="preserve"> </w:t>
      </w:r>
      <w:r w:rsidR="00D332EB">
        <w:rPr>
          <w:sz w:val="28"/>
          <w:szCs w:val="28"/>
        </w:rPr>
        <w:t>agencies, t</w:t>
      </w:r>
      <w:r>
        <w:rPr>
          <w:sz w:val="28"/>
          <w:szCs w:val="28"/>
        </w:rPr>
        <w:t>he service was assessed a “mid-year” reduction prior to the close of SFY 2017</w:t>
      </w:r>
      <w:r w:rsidR="00D332EB">
        <w:rPr>
          <w:sz w:val="28"/>
          <w:szCs w:val="28"/>
        </w:rPr>
        <w:t>,</w:t>
      </w:r>
      <w:r>
        <w:rPr>
          <w:sz w:val="28"/>
          <w:szCs w:val="28"/>
        </w:rPr>
        <w:t xml:space="preserve"> which was absorbed by attrition savings.  </w:t>
      </w:r>
    </w:p>
    <w:p w:rsidR="00D76BFC" w:rsidRDefault="00D76BFC" w:rsidP="006A2A5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“Outside Practice of Law” Policy Amendment</w:t>
      </w:r>
      <w:r w:rsidRPr="00D76BFC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A36D9F">
        <w:rPr>
          <w:sz w:val="28"/>
          <w:szCs w:val="28"/>
        </w:rPr>
        <w:t xml:space="preserve">The board discussed amending </w:t>
      </w:r>
      <w:r w:rsidR="004A3CC4">
        <w:rPr>
          <w:sz w:val="28"/>
          <w:szCs w:val="28"/>
        </w:rPr>
        <w:t xml:space="preserve">the service’s policy on attorneys having an outside practice to include non-contested matters for a fee.  A discussion ensued </w:t>
      </w:r>
      <w:r w:rsidR="0053190F">
        <w:rPr>
          <w:sz w:val="28"/>
          <w:szCs w:val="28"/>
        </w:rPr>
        <w:t xml:space="preserve">as to the advisability of the amendment, given </w:t>
      </w:r>
      <w:r w:rsidR="001A16DA">
        <w:rPr>
          <w:sz w:val="28"/>
          <w:szCs w:val="28"/>
        </w:rPr>
        <w:t>attorney</w:t>
      </w:r>
      <w:r w:rsidR="0053190F">
        <w:rPr>
          <w:sz w:val="28"/>
          <w:szCs w:val="28"/>
        </w:rPr>
        <w:t xml:space="preserve"> caseloads, the difficulties entailed in supervision, the problematic nature of “non-contested” legal matters, and liability issues.  The amendment was deferred to the next meeting, the director to gather information on comparable policies </w:t>
      </w:r>
      <w:r w:rsidR="001A16DA">
        <w:rPr>
          <w:sz w:val="28"/>
          <w:szCs w:val="28"/>
        </w:rPr>
        <w:t>of</w:t>
      </w:r>
      <w:r w:rsidR="0053190F">
        <w:rPr>
          <w:sz w:val="28"/>
          <w:szCs w:val="28"/>
        </w:rPr>
        <w:t xml:space="preserve"> other state agencies.</w:t>
      </w:r>
      <w:r w:rsidR="004A3CC4">
        <w:rPr>
          <w:sz w:val="28"/>
          <w:szCs w:val="28"/>
        </w:rPr>
        <w:t xml:space="preserve"> </w:t>
      </w:r>
    </w:p>
    <w:p w:rsidR="00561F06" w:rsidRDefault="00561F06" w:rsidP="006A2A5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Legislative Update</w:t>
      </w:r>
      <w:r w:rsidRPr="00561F06">
        <w:rPr>
          <w:sz w:val="28"/>
          <w:szCs w:val="28"/>
        </w:rPr>
        <w:t>:</w:t>
      </w:r>
      <w:r w:rsidR="00150EBC">
        <w:rPr>
          <w:sz w:val="28"/>
          <w:szCs w:val="28"/>
        </w:rPr>
        <w:t xml:space="preserve">  Joseph Seyler reported </w:t>
      </w:r>
      <w:r w:rsidR="00150EBC" w:rsidRPr="00384E62">
        <w:rPr>
          <w:sz w:val="28"/>
          <w:szCs w:val="28"/>
        </w:rPr>
        <w:t xml:space="preserve">on </w:t>
      </w:r>
      <w:r w:rsidR="00384E62">
        <w:rPr>
          <w:sz w:val="28"/>
          <w:szCs w:val="28"/>
        </w:rPr>
        <w:t>the following bills passed in</w:t>
      </w:r>
      <w:r w:rsidR="00062D5C">
        <w:rPr>
          <w:sz w:val="28"/>
          <w:szCs w:val="28"/>
        </w:rPr>
        <w:t>to</w:t>
      </w:r>
      <w:r w:rsidR="00384E62">
        <w:rPr>
          <w:sz w:val="28"/>
          <w:szCs w:val="28"/>
        </w:rPr>
        <w:t xml:space="preserve"> law:  </w:t>
      </w:r>
      <w:r w:rsidR="00384E62" w:rsidRPr="00384E62">
        <w:rPr>
          <w:rFonts w:cs="Segoe UI"/>
          <w:color w:val="000000"/>
          <w:sz w:val="28"/>
          <w:szCs w:val="28"/>
        </w:rPr>
        <w:t>SCR 38 gives MHAS a seat on a task force established to set standards for the care, treatment, operation, and rehabilitation of youth in secure care facilities</w:t>
      </w:r>
      <w:r w:rsidR="00384E62">
        <w:rPr>
          <w:rFonts w:cs="Segoe UI"/>
          <w:color w:val="000000"/>
          <w:sz w:val="28"/>
          <w:szCs w:val="28"/>
        </w:rPr>
        <w:t>;</w:t>
      </w:r>
      <w:r w:rsidR="00384E62" w:rsidRPr="00384E62">
        <w:rPr>
          <w:rFonts w:cs="Segoe UI"/>
          <w:color w:val="000000"/>
          <w:sz w:val="28"/>
          <w:szCs w:val="28"/>
        </w:rPr>
        <w:t xml:space="preserve">  Act 254 provides for physicians assistants and nurse </w:t>
      </w:r>
      <w:r w:rsidR="00384E62" w:rsidRPr="00384E62">
        <w:rPr>
          <w:rFonts w:cs="Segoe UI"/>
          <w:color w:val="000000"/>
          <w:sz w:val="28"/>
          <w:szCs w:val="28"/>
        </w:rPr>
        <w:lastRenderedPageBreak/>
        <w:t>practitioners to execute emergency certificates</w:t>
      </w:r>
      <w:r w:rsidR="00384E62">
        <w:rPr>
          <w:rFonts w:cs="Segoe UI"/>
          <w:color w:val="000000"/>
          <w:sz w:val="28"/>
          <w:szCs w:val="28"/>
        </w:rPr>
        <w:t>;</w:t>
      </w:r>
      <w:r w:rsidR="00384E62" w:rsidRPr="00384E62">
        <w:rPr>
          <w:rFonts w:cs="Segoe UI"/>
          <w:color w:val="000000"/>
          <w:sz w:val="28"/>
          <w:szCs w:val="28"/>
        </w:rPr>
        <w:t>  Act 370 makes changes to the commitment statute specifying that the hearings be closed and that LDH given notice and leave to participate as regards placement</w:t>
      </w:r>
      <w:r w:rsidR="00384E62">
        <w:rPr>
          <w:rFonts w:cs="Segoe UI"/>
          <w:color w:val="000000"/>
          <w:sz w:val="28"/>
          <w:szCs w:val="28"/>
        </w:rPr>
        <w:t>;</w:t>
      </w:r>
      <w:r w:rsidR="00384E62" w:rsidRPr="00384E62">
        <w:rPr>
          <w:rFonts w:cs="Segoe UI"/>
          <w:color w:val="000000"/>
          <w:sz w:val="28"/>
          <w:szCs w:val="28"/>
        </w:rPr>
        <w:t>  Act 369 amends Title 28 to provide for current practice and appropriate terminology.</w:t>
      </w:r>
      <w:r w:rsidR="00150EBC">
        <w:rPr>
          <w:sz w:val="28"/>
          <w:szCs w:val="28"/>
        </w:rPr>
        <w:t xml:space="preserve"> </w:t>
      </w:r>
    </w:p>
    <w:p w:rsidR="00384E62" w:rsidRDefault="00384E62" w:rsidP="006A2A5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Schedule for Next Meetings:</w:t>
      </w:r>
      <w:r>
        <w:rPr>
          <w:sz w:val="28"/>
          <w:szCs w:val="28"/>
        </w:rPr>
        <w:t xml:space="preserve">  Future meetings for SFY 2018 were scheduled for October 21, </w:t>
      </w:r>
      <w:r w:rsidR="00D86147">
        <w:rPr>
          <w:sz w:val="28"/>
          <w:szCs w:val="28"/>
        </w:rPr>
        <w:t xml:space="preserve">2017; </w:t>
      </w:r>
      <w:r>
        <w:rPr>
          <w:sz w:val="28"/>
          <w:szCs w:val="28"/>
        </w:rPr>
        <w:t xml:space="preserve">January 20, </w:t>
      </w:r>
      <w:r w:rsidR="006B3774">
        <w:rPr>
          <w:sz w:val="28"/>
          <w:szCs w:val="28"/>
        </w:rPr>
        <w:t xml:space="preserve">2018; </w:t>
      </w:r>
      <w:r>
        <w:rPr>
          <w:sz w:val="28"/>
          <w:szCs w:val="28"/>
        </w:rPr>
        <w:t>and May 5, 2018.</w:t>
      </w:r>
    </w:p>
    <w:p w:rsidR="00822FB8" w:rsidRDefault="00822FB8" w:rsidP="006A2A5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Old Business:</w:t>
      </w:r>
      <w:r>
        <w:rPr>
          <w:sz w:val="28"/>
          <w:szCs w:val="28"/>
        </w:rPr>
        <w:t xml:space="preserve">  </w:t>
      </w:r>
      <w:r w:rsidR="00055C62">
        <w:rPr>
          <w:sz w:val="28"/>
          <w:szCs w:val="28"/>
        </w:rPr>
        <w:t xml:space="preserve">Joseph Seyler reported that the Court Improvement Program extended its contract with </w:t>
      </w:r>
      <w:proofErr w:type="spellStart"/>
      <w:r w:rsidR="00055C62">
        <w:rPr>
          <w:sz w:val="28"/>
          <w:szCs w:val="28"/>
        </w:rPr>
        <w:t>KempWorks</w:t>
      </w:r>
      <w:proofErr w:type="spellEnd"/>
      <w:r w:rsidR="00055C62">
        <w:rPr>
          <w:sz w:val="28"/>
          <w:szCs w:val="28"/>
        </w:rPr>
        <w:t xml:space="preserve"> for another year.   </w:t>
      </w:r>
    </w:p>
    <w:p w:rsidR="00055C62" w:rsidRDefault="00055C62" w:rsidP="006A2A5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New Business:</w:t>
      </w:r>
      <w:r>
        <w:rPr>
          <w:sz w:val="28"/>
          <w:szCs w:val="28"/>
        </w:rPr>
        <w:t xml:space="preserve">  Joseph Seyler </w:t>
      </w:r>
      <w:r w:rsidR="00AA7FA7">
        <w:rPr>
          <w:sz w:val="28"/>
          <w:szCs w:val="28"/>
        </w:rPr>
        <w:t xml:space="preserve">presented </w:t>
      </w:r>
      <w:r>
        <w:rPr>
          <w:sz w:val="28"/>
          <w:szCs w:val="28"/>
        </w:rPr>
        <w:t xml:space="preserve">an MHAS logo </w:t>
      </w:r>
      <w:r w:rsidR="00AA7FA7">
        <w:rPr>
          <w:sz w:val="28"/>
          <w:szCs w:val="28"/>
        </w:rPr>
        <w:t xml:space="preserve">designed by OTS </w:t>
      </w:r>
      <w:proofErr w:type="gramStart"/>
      <w:r w:rsidR="00AA7FA7">
        <w:rPr>
          <w:sz w:val="28"/>
          <w:szCs w:val="28"/>
        </w:rPr>
        <w:t xml:space="preserve">as </w:t>
      </w:r>
      <w:r>
        <w:rPr>
          <w:sz w:val="28"/>
          <w:szCs w:val="28"/>
        </w:rPr>
        <w:t xml:space="preserve"> part</w:t>
      </w:r>
      <w:proofErr w:type="gramEnd"/>
      <w:r>
        <w:rPr>
          <w:sz w:val="28"/>
          <w:szCs w:val="28"/>
        </w:rPr>
        <w:t xml:space="preserve"> of its work on a new MHAS website.</w:t>
      </w:r>
      <w:r w:rsidR="002963A3">
        <w:rPr>
          <w:sz w:val="28"/>
          <w:szCs w:val="28"/>
        </w:rPr>
        <w:t xml:space="preserve">  Hector Linares announced his resignation from the board as </w:t>
      </w:r>
      <w:r w:rsidR="00062D5C">
        <w:rPr>
          <w:sz w:val="28"/>
          <w:szCs w:val="28"/>
        </w:rPr>
        <w:t>LSU’s statutory representative, as he has accepted a pos</w:t>
      </w:r>
      <w:r w:rsidR="002963A3">
        <w:rPr>
          <w:sz w:val="28"/>
          <w:szCs w:val="28"/>
        </w:rPr>
        <w:t>ition at Loyola</w:t>
      </w:r>
      <w:r w:rsidR="006B3774">
        <w:rPr>
          <w:sz w:val="28"/>
          <w:szCs w:val="28"/>
        </w:rPr>
        <w:t>.  The board thanked Hector for his work.  Rob Garda is working on a replacement from LSU.</w:t>
      </w:r>
    </w:p>
    <w:p w:rsidR="006A2A5A" w:rsidRPr="00D02AA8" w:rsidRDefault="006A2A5A" w:rsidP="002672AA">
      <w:pPr>
        <w:pStyle w:val="NoSpacing"/>
        <w:ind w:left="2940"/>
        <w:rPr>
          <w:sz w:val="28"/>
          <w:szCs w:val="28"/>
        </w:rPr>
      </w:pPr>
    </w:p>
    <w:sectPr w:rsidR="006A2A5A" w:rsidRPr="00D02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92A" w:rsidRDefault="001E192A" w:rsidP="001E192A">
      <w:pPr>
        <w:spacing w:after="0" w:line="240" w:lineRule="auto"/>
      </w:pPr>
      <w:r>
        <w:separator/>
      </w:r>
    </w:p>
  </w:endnote>
  <w:endnote w:type="continuationSeparator" w:id="0">
    <w:p w:rsidR="001E192A" w:rsidRDefault="001E192A" w:rsidP="001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2A" w:rsidRDefault="001E1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2A" w:rsidRDefault="001E1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2A" w:rsidRDefault="001E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92A" w:rsidRDefault="001E192A" w:rsidP="001E192A">
      <w:pPr>
        <w:spacing w:after="0" w:line="240" w:lineRule="auto"/>
      </w:pPr>
      <w:r>
        <w:separator/>
      </w:r>
    </w:p>
  </w:footnote>
  <w:footnote w:type="continuationSeparator" w:id="0">
    <w:p w:rsidR="001E192A" w:rsidRDefault="001E192A" w:rsidP="001E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2A" w:rsidRDefault="001E1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2A" w:rsidRDefault="001E1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92A" w:rsidRDefault="001E1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62F9"/>
    <w:multiLevelType w:val="hybridMultilevel"/>
    <w:tmpl w:val="862E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0F"/>
    <w:rsid w:val="00055C62"/>
    <w:rsid w:val="00062D5C"/>
    <w:rsid w:val="00150EBC"/>
    <w:rsid w:val="001A16DA"/>
    <w:rsid w:val="001E192A"/>
    <w:rsid w:val="002672AA"/>
    <w:rsid w:val="002963A3"/>
    <w:rsid w:val="00384E62"/>
    <w:rsid w:val="004A3CC4"/>
    <w:rsid w:val="004F3D0D"/>
    <w:rsid w:val="0053190F"/>
    <w:rsid w:val="00552C64"/>
    <w:rsid w:val="00561F06"/>
    <w:rsid w:val="005E65BE"/>
    <w:rsid w:val="006A2A5A"/>
    <w:rsid w:val="006B3774"/>
    <w:rsid w:val="006D190F"/>
    <w:rsid w:val="006F4F3A"/>
    <w:rsid w:val="00822FB8"/>
    <w:rsid w:val="00A36D9F"/>
    <w:rsid w:val="00A56A73"/>
    <w:rsid w:val="00A95A19"/>
    <w:rsid w:val="00AA7FA7"/>
    <w:rsid w:val="00B9000C"/>
    <w:rsid w:val="00C0309A"/>
    <w:rsid w:val="00D02AA8"/>
    <w:rsid w:val="00D332EB"/>
    <w:rsid w:val="00D40883"/>
    <w:rsid w:val="00D76BFC"/>
    <w:rsid w:val="00D86147"/>
    <w:rsid w:val="00E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8F93E9E-CADB-401F-8EE6-3DEDAD0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A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2A"/>
  </w:style>
  <w:style w:type="paragraph" w:styleId="Footer">
    <w:name w:val="footer"/>
    <w:basedOn w:val="Normal"/>
    <w:link w:val="Foot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50021-F579-4D2B-AEBA-AAE553B7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Erica Robertson</cp:lastModifiedBy>
  <cp:revision>2</cp:revision>
  <cp:lastPrinted>2017-07-17T19:28:00Z</cp:lastPrinted>
  <dcterms:created xsi:type="dcterms:W3CDTF">2017-10-26T19:51:00Z</dcterms:created>
  <dcterms:modified xsi:type="dcterms:W3CDTF">2017-10-26T19:51:00Z</dcterms:modified>
</cp:coreProperties>
</file>